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2C95D53B"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D371FB">
        <w:rPr>
          <w:rFonts w:eastAsia="SimSun"/>
          <w:lang w:eastAsia="zh-CN"/>
        </w:rPr>
        <w:t>bis-e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w:t>
      </w:r>
      <w:r w:rsidR="00A30758" w:rsidRPr="005E3597">
        <w:t>00</w:t>
      </w:r>
      <w:r w:rsidR="005E3597" w:rsidRPr="005E3597">
        <w:t>3774</w:t>
      </w:r>
    </w:p>
    <w:p w14:paraId="35BF833C" w14:textId="472EC821"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Pr>
          <w:rFonts w:cs="Arial"/>
        </w:rPr>
        <w:t>0</w:t>
      </w:r>
      <w:r w:rsidR="00DF018A" w:rsidRPr="00084769">
        <w:rPr>
          <w:rFonts w:cs="Arial"/>
        </w:rPr>
        <w:t xml:space="preserve"> – </w:t>
      </w:r>
      <w:r>
        <w:rPr>
          <w:rFonts w:cs="Arial"/>
        </w:rPr>
        <w:t>30</w:t>
      </w:r>
      <w:r w:rsidR="00DF018A">
        <w:rPr>
          <w:rFonts w:cs="Arial"/>
        </w:rPr>
        <w:t xml:space="preserve"> </w:t>
      </w:r>
      <w:r>
        <w:rPr>
          <w:rFonts w:cs="Arial"/>
        </w:rPr>
        <w:t>April</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7DDE3D35"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w:t>
      </w:r>
      <w:r w:rsidR="00D371FB">
        <w:rPr>
          <w:sz w:val="22"/>
        </w:rPr>
        <w:t>classification</w:t>
      </w:r>
      <w:r w:rsidR="005A5924">
        <w:rPr>
          <w:sz w:val="22"/>
        </w:rPr>
        <w:t xml:space="preserve"> and related </w:t>
      </w:r>
      <w:r w:rsidR="002F6C06">
        <w:rPr>
          <w:sz w:val="22"/>
        </w:rPr>
        <w:t>output power requirements</w:t>
      </w:r>
    </w:p>
    <w:p w14:paraId="38BCE621" w14:textId="1BFC8EA1"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D4752A">
        <w:rPr>
          <w:sz w:val="22"/>
          <w:lang w:val="en-US"/>
        </w:rPr>
        <w:t>6.5.1.2</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bookmarkStart w:id="2" w:name="_GoBack"/>
      <w:bookmarkEnd w:id="2"/>
    </w:p>
    <w:p w14:paraId="31CCC137" w14:textId="77777777" w:rsidR="0043450E" w:rsidRDefault="0043450E" w:rsidP="0043450E">
      <w:pPr>
        <w:pStyle w:val="Heading1"/>
      </w:pPr>
      <w:r>
        <w:t>1</w:t>
      </w:r>
      <w:r>
        <w:tab/>
        <w:t>Introduction</w:t>
      </w:r>
    </w:p>
    <w:p w14:paraId="781A2A01" w14:textId="18F9D91B"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 xml:space="preserve">discuss the </w:t>
      </w:r>
      <w:r w:rsidR="005A5924">
        <w:rPr>
          <w:rFonts w:eastAsia="Batang"/>
          <w:lang w:eastAsia="ko-KR"/>
        </w:rPr>
        <w:t xml:space="preserve">IAB classification and related </w:t>
      </w:r>
      <w:r w:rsidR="002F6C06">
        <w:rPr>
          <w:rFonts w:eastAsia="Batang"/>
          <w:lang w:eastAsia="ko-KR"/>
        </w:rPr>
        <w:t xml:space="preserve">output power </w:t>
      </w:r>
      <w:r w:rsidR="005A5924">
        <w:rPr>
          <w:rFonts w:eastAsia="Batang"/>
          <w:lang w:eastAsia="ko-KR"/>
        </w:rPr>
        <w:t>requirements</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25C01E9A" w14:textId="10F9B379" w:rsidR="0039353D" w:rsidRPr="0039353D" w:rsidRDefault="0039353D" w:rsidP="00E32CD3">
      <w:pPr>
        <w:rPr>
          <w:b/>
          <w:bCs/>
          <w:sz w:val="28"/>
          <w:szCs w:val="28"/>
        </w:rPr>
      </w:pPr>
      <w:r w:rsidRPr="0039353D">
        <w:rPr>
          <w:b/>
          <w:bCs/>
          <w:sz w:val="28"/>
          <w:szCs w:val="28"/>
        </w:rPr>
        <w:t xml:space="preserve">2.1 Class definitions and </w:t>
      </w:r>
      <w:r>
        <w:rPr>
          <w:b/>
          <w:bCs/>
          <w:sz w:val="28"/>
          <w:szCs w:val="28"/>
        </w:rPr>
        <w:t>linkage between IAB-DU and IAB-MT classes</w:t>
      </w:r>
    </w:p>
    <w:p w14:paraId="38B3962E" w14:textId="6089E918" w:rsidR="00D309FF" w:rsidRDefault="001D6F67" w:rsidP="00E32CD3">
      <w:r>
        <w:t xml:space="preserve">In </w:t>
      </w:r>
      <w:r w:rsidR="001779BE">
        <w:t>RAN4</w:t>
      </w:r>
      <w:r w:rsidR="001779BE" w:rsidRPr="00D371FB">
        <w:t>#</w:t>
      </w:r>
      <w:r w:rsidR="00D371FB" w:rsidRPr="00D371FB">
        <w:t>94-e</w:t>
      </w:r>
      <w:r w:rsidR="005A5924">
        <w:t xml:space="preserve"> a WF on IAB MT class definition was agreed in [1]</w:t>
      </w:r>
      <w:r w:rsidR="00281158">
        <w:t xml:space="preserve"> setting a starting point of two IAB-MT classes in rel-16. One of the classes is Wide area IAB-MT and another is [medium range or local area] IAB-MT. The detailed criteria how the classes are defined and differentiated were not agreed.</w:t>
      </w:r>
    </w:p>
    <w:p w14:paraId="73EE4038" w14:textId="77777777" w:rsidR="00281158" w:rsidRDefault="00281158" w:rsidP="00E32CD3">
      <w:r>
        <w:t>During the work item significant work has been put into the coexistence study, where ACLR, ACS and blocking requirements have been studied for IAB-MTs. The coexistence has been studied for two different deployment scenarios, a planned homogeneous network with greater inter-side distance and a HetNet scenario where IAB-Nodes are placed within the coverage of the network only some tens of meters away from the parent gNB. These different deployment scenarios and the different needs in these scenarios were the reason why discussion on multiple IAB-MT classes was started in the first place. Therefore, we see the deployment scenario as the defining factor for the different classes, and possible differences in the requirements can be based on the different needs to guarantee system performance in these different deployments.</w:t>
      </w:r>
    </w:p>
    <w:p w14:paraId="33ED892F" w14:textId="6355E3FA" w:rsidR="00281158" w:rsidRDefault="00281158" w:rsidP="00E32CD3">
      <w:pPr>
        <w:rPr>
          <w:b/>
          <w:bCs/>
        </w:rPr>
      </w:pPr>
      <w:r>
        <w:rPr>
          <w:b/>
          <w:bCs/>
        </w:rPr>
        <w:t xml:space="preserve">Observation 1: Deployment scenario is the defining factor for the different </w:t>
      </w:r>
      <w:r w:rsidR="00BB523E">
        <w:rPr>
          <w:b/>
          <w:bCs/>
        </w:rPr>
        <w:t xml:space="preserve">IAB-MT </w:t>
      </w:r>
      <w:r>
        <w:rPr>
          <w:b/>
          <w:bCs/>
        </w:rPr>
        <w:t>classes.</w:t>
      </w:r>
    </w:p>
    <w:p w14:paraId="1333EC35" w14:textId="77777777" w:rsidR="00A269DA" w:rsidRDefault="00281158" w:rsidP="00E32CD3">
      <w:r>
        <w:t>Both of the deployment scenarios have distinct characteristics typical to them, separating them from each other.</w:t>
      </w:r>
      <w:r w:rsidR="00A269DA">
        <w:t xml:space="preserve"> From IAB-MT perspective especially the backhaul link characteristic are of interest. In way forward for RRM requirements agreed in RAN#86 in [2] it was agreed the RRM requirements should be defined also for the MT classes not targeting macro type of deployment. It seems obvious that the link conditions are foreseen to be stable in macro deployments, motivating the possibility to avoid setting requirements. </w:t>
      </w:r>
    </w:p>
    <w:p w14:paraId="7FA42E54" w14:textId="4DA0DBE6" w:rsidR="00A269DA" w:rsidRDefault="00A269DA" w:rsidP="00E32CD3">
      <w:r>
        <w:t xml:space="preserve">From RF perspective, in addition to the stable link conditions, the homogeneous deployment scenario results in more stable link budget, resulting in limited Tx dynamic range and therefore also limited need for power control. The results of the coexistence study also show that </w:t>
      </w:r>
      <w:r w:rsidR="007149F9">
        <w:t>coexistence is easier to satisfy in the micro/macro deployment, with e.g. results in [3, 4] stating that 17 dB ACLR would be sufficient for the homogeneous scenario.</w:t>
      </w:r>
    </w:p>
    <w:p w14:paraId="07B4CFF8" w14:textId="2DA0EE25" w:rsidR="00B1706D" w:rsidRDefault="00B1706D" w:rsidP="00E32CD3">
      <w:r>
        <w:t>The HetNet scenario corresponds more to a situation where the holes in the coverage layer are filled with IAB-Nodes or network capacity is expanded for short-term needs such as events. In these kind of cases it may not be possible to do the network planning with as much finesse as done for macro-layer, and therefore also the link conditions cannot be expected to as stable, raising a need for RRM requirements, more comprehensive power control and also more stringent co-existence requirements due to shorter distances between nodes.</w:t>
      </w:r>
    </w:p>
    <w:p w14:paraId="2DA73515" w14:textId="5FE317FA" w:rsidR="00B1706D" w:rsidRDefault="00B1706D" w:rsidP="00E32CD3">
      <w:pPr>
        <w:rPr>
          <w:b/>
          <w:bCs/>
        </w:rPr>
      </w:pPr>
      <w:r w:rsidRPr="00B1706D">
        <w:rPr>
          <w:b/>
          <w:bCs/>
        </w:rPr>
        <w:t xml:space="preserve">Observation 2: </w:t>
      </w:r>
      <w:r>
        <w:rPr>
          <w:b/>
          <w:bCs/>
        </w:rPr>
        <w:t>Backhaul link conditions are expected to be more stable for the macro deployments, resulting in limited need for RRM requirements and Tx dynamic range, including power control requirements, compared to HetNet deployment. Coexistence study has shown coexistence is easier to guarantee in macro deployment.</w:t>
      </w:r>
    </w:p>
    <w:p w14:paraId="261BBF5E" w14:textId="305D256F" w:rsidR="00BB523E" w:rsidRDefault="00BB523E" w:rsidP="00E32CD3">
      <w:r>
        <w:t>When it comes to the exact criteria set for the classes, we can see some precedence when looking into current base station class definitions in TS 38.104. For example, wide area base station has the following definitions.</w:t>
      </w:r>
    </w:p>
    <w:p w14:paraId="6BE15F5D" w14:textId="77777777" w:rsidR="00BB523E" w:rsidRPr="00E26D09" w:rsidRDefault="00BB523E" w:rsidP="00BB523E">
      <w:pPr>
        <w:ind w:left="284"/>
      </w:pPr>
      <w:r w:rsidRPr="00E26D09">
        <w:t xml:space="preserve">For BS </w:t>
      </w:r>
      <w:r w:rsidRPr="00E26D09">
        <w:rPr>
          <w:i/>
        </w:rPr>
        <w:t>type 1-O</w:t>
      </w:r>
      <w:r w:rsidRPr="00E26D09">
        <w:t xml:space="preserve"> and 2-O</w:t>
      </w:r>
      <w:r w:rsidRPr="00E26D09">
        <w:rPr>
          <w:lang w:eastAsia="zh-CN"/>
        </w:rPr>
        <w:t>, BS classes</w:t>
      </w:r>
      <w:r w:rsidRPr="00E26D09">
        <w:t xml:space="preserve"> are defined as indicated below:</w:t>
      </w:r>
    </w:p>
    <w:p w14:paraId="40146DBE" w14:textId="46793E6F" w:rsidR="00BB523E" w:rsidRDefault="00BB523E" w:rsidP="00BB523E">
      <w:pPr>
        <w:pStyle w:val="B1"/>
        <w:ind w:left="852"/>
      </w:pPr>
      <w:r w:rsidRPr="00E26D09">
        <w:lastRenderedPageBreak/>
        <w:t>-</w:t>
      </w:r>
      <w:r w:rsidRPr="00E26D09">
        <w:tab/>
        <w:t>Wide Area Base Stations are characterised by requirements derived from Macro Cell scenarios with a BS to UE minimum distance along the ground equal to 35 m.</w:t>
      </w:r>
    </w:p>
    <w:p w14:paraId="6E7C5EB0" w14:textId="77777777" w:rsidR="00BB523E" w:rsidRPr="00E26D09" w:rsidRDefault="00BB523E" w:rsidP="00BB523E">
      <w:pPr>
        <w:ind w:firstLine="284"/>
      </w:pPr>
      <w:r w:rsidRPr="00E26D09">
        <w:t xml:space="preserve">For </w:t>
      </w:r>
      <w:r w:rsidRPr="00E26D09">
        <w:rPr>
          <w:i/>
        </w:rPr>
        <w:t>BS type 1-C</w:t>
      </w:r>
      <w:r w:rsidRPr="00E26D09">
        <w:t xml:space="preserve"> and 1-H</w:t>
      </w:r>
      <w:r w:rsidRPr="00E26D09">
        <w:rPr>
          <w:lang w:eastAsia="zh-CN"/>
        </w:rPr>
        <w:t>, BS classes</w:t>
      </w:r>
      <w:r w:rsidRPr="00E26D09">
        <w:t xml:space="preserve"> are defined as indicated below:</w:t>
      </w:r>
    </w:p>
    <w:p w14:paraId="34497069" w14:textId="77777777" w:rsidR="00BB523E" w:rsidRPr="00E26D09" w:rsidRDefault="00BB523E" w:rsidP="00BB523E">
      <w:pPr>
        <w:pStyle w:val="B1"/>
      </w:pPr>
      <w:r w:rsidRPr="00E26D09">
        <w:t>-</w:t>
      </w:r>
      <w:r w:rsidRPr="00E26D09">
        <w:tab/>
        <w:t>Wide Area Base Stations are characterised by requirements derived from Macro Cell scenarios with a BS to UE minimum coupling loss equal to 70 dB.</w:t>
      </w:r>
    </w:p>
    <w:p w14:paraId="127B06B5" w14:textId="356894EB" w:rsidR="00DD4BA1" w:rsidRDefault="00BB523E" w:rsidP="00BB523E">
      <w:pPr>
        <w:pStyle w:val="B1"/>
        <w:ind w:left="0" w:firstLine="0"/>
      </w:pPr>
      <w:r>
        <w:t xml:space="preserve">As seen, also here deployment scenario is the defining factor. In addition to the difference in definition some requirements are different for different BS classes, and therefore the definition does not need to state all the differences between classes. </w:t>
      </w:r>
      <w:r w:rsidR="00DD4BA1">
        <w:t>The critical aspect of the definition is to describe the typical conditions where the requirements are based on. For UEs moving around the minimum distance is a key factor, but for IAB-MTs it may not be as practical. Rather we see that the backhaul link conditions is the key point which motivates the differences in the requirements. Therefore, we propose the following definitions for IAB-MT classes.</w:t>
      </w:r>
      <w:r w:rsidR="00131F06">
        <w:t xml:space="preserve"> The same approach applies for all IAB-MTs, independent of the frequency range or requirement set type, and therefore those do not need to be separated.</w:t>
      </w:r>
    </w:p>
    <w:p w14:paraId="4426BF5D" w14:textId="093979ED" w:rsidR="00BB523E" w:rsidRPr="00131F06" w:rsidRDefault="00131F06" w:rsidP="00BB523E">
      <w:pPr>
        <w:rPr>
          <w:b/>
          <w:bCs/>
        </w:rPr>
      </w:pPr>
      <w:r w:rsidRPr="00131F06">
        <w:rPr>
          <w:b/>
          <w:bCs/>
        </w:rPr>
        <w:t xml:space="preserve">Proposal 1: </w:t>
      </w:r>
      <w:r w:rsidR="00BB523E" w:rsidRPr="00131F06">
        <w:rPr>
          <w:b/>
          <w:bCs/>
        </w:rPr>
        <w:t xml:space="preserve">IAB-MT </w:t>
      </w:r>
      <w:r w:rsidR="00BB523E" w:rsidRPr="00131F06">
        <w:rPr>
          <w:b/>
          <w:bCs/>
          <w:lang w:eastAsia="zh-CN"/>
        </w:rPr>
        <w:t>classes</w:t>
      </w:r>
      <w:r w:rsidR="00BB523E" w:rsidRPr="00131F06">
        <w:rPr>
          <w:b/>
          <w:bCs/>
        </w:rPr>
        <w:t xml:space="preserve"> are defined as indicated below:</w:t>
      </w:r>
    </w:p>
    <w:p w14:paraId="1D881F5D" w14:textId="2313B9C7" w:rsidR="00BB523E" w:rsidRPr="00131F06" w:rsidRDefault="00BB523E" w:rsidP="00BB523E">
      <w:pPr>
        <w:pStyle w:val="B1"/>
        <w:ind w:left="852"/>
        <w:rPr>
          <w:b/>
          <w:bCs/>
        </w:rPr>
      </w:pPr>
      <w:r w:rsidRPr="00131F06">
        <w:rPr>
          <w:b/>
          <w:bCs/>
        </w:rPr>
        <w:t>-</w:t>
      </w:r>
      <w:r w:rsidRPr="00131F06">
        <w:rPr>
          <w:b/>
          <w:bCs/>
        </w:rPr>
        <w:tab/>
        <w:t xml:space="preserve">Wide Area IAB-MT are characterised by requirements derived from Macro/Micro deployment scenarios with </w:t>
      </w:r>
      <w:r w:rsidR="00DD4BA1" w:rsidRPr="00131F06">
        <w:rPr>
          <w:b/>
          <w:bCs/>
        </w:rPr>
        <w:t>stable link conditions</w:t>
      </w:r>
      <w:r w:rsidRPr="00131F06">
        <w:rPr>
          <w:b/>
          <w:bCs/>
        </w:rPr>
        <w:t>.</w:t>
      </w:r>
    </w:p>
    <w:p w14:paraId="4365D6BC" w14:textId="35A871BC" w:rsidR="00BB523E" w:rsidRDefault="00BB523E" w:rsidP="00BB523E">
      <w:pPr>
        <w:pStyle w:val="B1"/>
        <w:ind w:left="852"/>
        <w:rPr>
          <w:b/>
          <w:bCs/>
        </w:rPr>
      </w:pPr>
      <w:r w:rsidRPr="00131F06">
        <w:rPr>
          <w:b/>
          <w:bCs/>
        </w:rPr>
        <w:t>-</w:t>
      </w:r>
      <w:r w:rsidRPr="00131F06">
        <w:rPr>
          <w:b/>
          <w:bCs/>
        </w:rPr>
        <w:tab/>
        <w:t>[Local Area] IAB-MT are characterised by requirements derived from Pico deployment scenarios with</w:t>
      </w:r>
      <w:r w:rsidR="00131F06" w:rsidRPr="00131F06">
        <w:rPr>
          <w:b/>
          <w:bCs/>
        </w:rPr>
        <w:t xml:space="preserve"> varying backhaul link conditions. </w:t>
      </w:r>
    </w:p>
    <w:p w14:paraId="5CD99EDC" w14:textId="72021E4A" w:rsidR="0039353D" w:rsidRPr="0039353D" w:rsidRDefault="005765EE" w:rsidP="00D324A8">
      <w:pPr>
        <w:pStyle w:val="B1"/>
        <w:ind w:left="0" w:firstLine="0"/>
      </w:pPr>
      <w:r>
        <w:t xml:space="preserve">As the IAB-MT classes are not the same as DU-classes, this raises a question what is the class definition of an IAB-Node. There are benefits of not precluding any combinations of IAB-MT and IAB-DU classes, as the linkage between backhaul link and access link needs. It should be possible to provide local area type access link coverage behind a micro-type backhaul link. </w:t>
      </w:r>
      <w:r w:rsidR="0039353D">
        <w:t xml:space="preserve">In addition, use cases for mixed classes also include out-of-band IAB and implementations where the same RF HW is not used for IAB-MT and IAB-DU. </w:t>
      </w:r>
      <w:r>
        <w:t>Therefore</w:t>
      </w:r>
      <w:r w:rsidR="0039353D">
        <w:t>,</w:t>
      </w:r>
      <w:r>
        <w:t xml:space="preserve"> we do not see a need to limit the combinations.</w:t>
      </w:r>
    </w:p>
    <w:p w14:paraId="51EA9DE2" w14:textId="543DC3B5" w:rsidR="005765EE" w:rsidRPr="005765EE" w:rsidRDefault="005765EE" w:rsidP="00D324A8">
      <w:pPr>
        <w:pStyle w:val="B1"/>
        <w:ind w:left="0" w:firstLine="0"/>
        <w:rPr>
          <w:b/>
          <w:bCs/>
        </w:rPr>
      </w:pPr>
      <w:r>
        <w:rPr>
          <w:b/>
          <w:bCs/>
        </w:rPr>
        <w:t xml:space="preserve">Proposal 2: IAB-MT and IAB-DU classes shall be possible to </w:t>
      </w:r>
      <w:r w:rsidR="0039353D">
        <w:rPr>
          <w:b/>
          <w:bCs/>
        </w:rPr>
        <w:t xml:space="preserve">be </w:t>
      </w:r>
      <w:r>
        <w:rPr>
          <w:b/>
          <w:bCs/>
        </w:rPr>
        <w:t>combine</w:t>
      </w:r>
      <w:r w:rsidR="0039353D">
        <w:rPr>
          <w:b/>
          <w:bCs/>
        </w:rPr>
        <w:t>d</w:t>
      </w:r>
      <w:r>
        <w:rPr>
          <w:b/>
          <w:bCs/>
        </w:rPr>
        <w:t xml:space="preserve"> freely in an IAB-Node.</w:t>
      </w:r>
    </w:p>
    <w:p w14:paraId="54CD0E5F" w14:textId="7552D2B6" w:rsidR="0039353D" w:rsidRDefault="0039353D" w:rsidP="0039353D">
      <w:pPr>
        <w:rPr>
          <w:b/>
          <w:bCs/>
          <w:sz w:val="28"/>
          <w:szCs w:val="28"/>
        </w:rPr>
      </w:pPr>
      <w:r w:rsidRPr="0039353D">
        <w:rPr>
          <w:b/>
          <w:bCs/>
          <w:sz w:val="28"/>
          <w:szCs w:val="28"/>
        </w:rPr>
        <w:t>2.</w:t>
      </w:r>
      <w:r>
        <w:rPr>
          <w:b/>
          <w:bCs/>
          <w:sz w:val="28"/>
          <w:szCs w:val="28"/>
        </w:rPr>
        <w:t>2</w:t>
      </w:r>
      <w:r w:rsidRPr="0039353D">
        <w:rPr>
          <w:b/>
          <w:bCs/>
          <w:sz w:val="28"/>
          <w:szCs w:val="28"/>
        </w:rPr>
        <w:t xml:space="preserve"> </w:t>
      </w:r>
      <w:r>
        <w:rPr>
          <w:b/>
          <w:bCs/>
          <w:sz w:val="28"/>
          <w:szCs w:val="28"/>
        </w:rPr>
        <w:t>Output power and dynamic range requirements</w:t>
      </w:r>
    </w:p>
    <w:p w14:paraId="67CA12B6" w14:textId="616DE143" w:rsidR="0039353D" w:rsidRDefault="00FF5007" w:rsidP="0039353D">
      <w:r w:rsidRPr="00FF5007">
        <w:t>In [1]</w:t>
      </w:r>
      <w:r>
        <w:t xml:space="preserve"> it was also agreed to at least discuss max Tx power requirements for each IAB-MT class. </w:t>
      </w:r>
      <w:r w:rsidR="00AD55F1">
        <w:t>As discussed in this contribution, the backhaul link conditions and the propagation environment may be rather different for Wide area and local area IAB-MT. Wide-area deployment may aim at high output power to minimize required deployment density and reach maximum coverage extension. On the other hand, also local area IAB-MT may require high output power in case the propagation conditions are adverse in for example line-of-sight connection is not available. For these reason minimum restrictions to output power range are preferred. In addition, co-existence study considered same output power for both deployment scenarios.</w:t>
      </w:r>
      <w:r w:rsidR="00495483">
        <w:t xml:space="preserve"> It should be also noted that BS classes in FR2 do not have output power limits.</w:t>
      </w:r>
    </w:p>
    <w:p w14:paraId="67585A2B" w14:textId="63438AD0" w:rsidR="00AD55F1" w:rsidRDefault="00AD55F1" w:rsidP="0039353D">
      <w:pPr>
        <w:rPr>
          <w:b/>
          <w:bCs/>
        </w:rPr>
      </w:pPr>
      <w:r w:rsidRPr="00AD55F1">
        <w:rPr>
          <w:b/>
          <w:bCs/>
        </w:rPr>
        <w:t xml:space="preserve">Observation </w:t>
      </w:r>
      <w:r>
        <w:rPr>
          <w:b/>
          <w:bCs/>
        </w:rPr>
        <w:t>3</w:t>
      </w:r>
      <w:r w:rsidRPr="00AD55F1">
        <w:rPr>
          <w:b/>
          <w:bCs/>
        </w:rPr>
        <w:t>:</w:t>
      </w:r>
      <w:r>
        <w:rPr>
          <w:b/>
          <w:bCs/>
        </w:rPr>
        <w:t xml:space="preserve"> Both deployment scenarios benefit from high output power being available</w:t>
      </w:r>
    </w:p>
    <w:p w14:paraId="56348939" w14:textId="31312A8D" w:rsidR="00AD55F1" w:rsidRDefault="00AD55F1" w:rsidP="0039353D">
      <w:pPr>
        <w:rPr>
          <w:b/>
          <w:bCs/>
        </w:rPr>
      </w:pPr>
      <w:r w:rsidRPr="00AD55F1">
        <w:rPr>
          <w:b/>
          <w:bCs/>
        </w:rPr>
        <w:t xml:space="preserve">Observation </w:t>
      </w:r>
      <w:r>
        <w:rPr>
          <w:b/>
          <w:bCs/>
        </w:rPr>
        <w:t>4</w:t>
      </w:r>
      <w:r w:rsidRPr="00AD55F1">
        <w:rPr>
          <w:b/>
          <w:bCs/>
        </w:rPr>
        <w:t>:</w:t>
      </w:r>
      <w:r>
        <w:rPr>
          <w:b/>
          <w:bCs/>
        </w:rPr>
        <w:t xml:space="preserve"> Coexistence study used same output power for both deployment scenarios.</w:t>
      </w:r>
    </w:p>
    <w:p w14:paraId="463A26A8" w14:textId="122792C6" w:rsidR="00AD55F1" w:rsidRDefault="00AD55F1" w:rsidP="0039353D">
      <w:pPr>
        <w:rPr>
          <w:b/>
          <w:bCs/>
        </w:rPr>
      </w:pPr>
      <w:r>
        <w:rPr>
          <w:b/>
          <w:bCs/>
        </w:rPr>
        <w:t xml:space="preserve">Proposal 2: No </w:t>
      </w:r>
      <w:r w:rsidR="00495483">
        <w:rPr>
          <w:b/>
          <w:bCs/>
        </w:rPr>
        <w:t>limits for maximum</w:t>
      </w:r>
      <w:r>
        <w:rPr>
          <w:b/>
          <w:bCs/>
        </w:rPr>
        <w:t xml:space="preserve"> output power is specified for wide area IAB-MT</w:t>
      </w:r>
      <w:r w:rsidR="00495483">
        <w:rPr>
          <w:b/>
          <w:bCs/>
        </w:rPr>
        <w:t xml:space="preserve"> neither in FR1 nor FR2.</w:t>
      </w:r>
    </w:p>
    <w:p w14:paraId="7C060324" w14:textId="0980BEA2" w:rsidR="00495483" w:rsidRDefault="00495483" w:rsidP="0039353D">
      <w:pPr>
        <w:rPr>
          <w:b/>
          <w:bCs/>
        </w:rPr>
      </w:pPr>
      <w:r>
        <w:rPr>
          <w:b/>
          <w:bCs/>
        </w:rPr>
        <w:t>Proposal 3: No limits for maximum output power is specified for local area IAB-MT at least in FR2.</w:t>
      </w:r>
    </w:p>
    <w:p w14:paraId="2B1DF64A" w14:textId="2B47B74E" w:rsidR="00495483" w:rsidRDefault="00495483" w:rsidP="0039353D">
      <w:r>
        <w:t xml:space="preserve">As discussed already for the class definitions the macro deployment scenario is well-defined and based on stable link conditions, we do not see a need for dynamic power control requirement – rather the link will be setup to operate at constant PSD and possible deviations to that are rare. </w:t>
      </w:r>
    </w:p>
    <w:p w14:paraId="794FFD14" w14:textId="126F7F1D" w:rsidR="00495483" w:rsidRDefault="00495483" w:rsidP="0039353D">
      <w:pPr>
        <w:rPr>
          <w:b/>
          <w:bCs/>
        </w:rPr>
      </w:pPr>
      <w:r w:rsidRPr="00495483">
        <w:rPr>
          <w:b/>
          <w:bCs/>
        </w:rPr>
        <w:t>Proposal 4</w:t>
      </w:r>
      <w:r>
        <w:rPr>
          <w:b/>
          <w:bCs/>
        </w:rPr>
        <w:t xml:space="preserve">: For wide area IAB-MT </w:t>
      </w:r>
      <w:r w:rsidR="00CF5190">
        <w:rPr>
          <w:b/>
          <w:bCs/>
        </w:rPr>
        <w:t xml:space="preserve">the only dynamic range and power control requirement which shall be specified is </w:t>
      </w:r>
      <w:r>
        <w:rPr>
          <w:b/>
          <w:bCs/>
        </w:rPr>
        <w:t>total power dynamic range</w:t>
      </w:r>
      <w:r w:rsidR="00CF5190">
        <w:rPr>
          <w:b/>
          <w:bCs/>
        </w:rPr>
        <w:t xml:space="preserve"> according to BS requirements</w:t>
      </w:r>
      <w:r>
        <w:rPr>
          <w:b/>
          <w:bCs/>
        </w:rPr>
        <w:t>.</w:t>
      </w:r>
    </w:p>
    <w:p w14:paraId="23D78380" w14:textId="32E310E0" w:rsidR="00495483" w:rsidRDefault="00495483" w:rsidP="0039353D">
      <w:r w:rsidRPr="00495483">
        <w:t xml:space="preserve">However, </w:t>
      </w:r>
      <w:r>
        <w:t xml:space="preserve">local area IAB-MT is expected to be deployed in more variable conditions, in which also power control requirements are justified. RAN1 specifies the UE power control in TS </w:t>
      </w:r>
      <w:r w:rsidR="00236867">
        <w:t>38.213 clause 7.1.1, where Pcmax in UE RF specifications TS 38.101-1/2/3 is referred. As no specific updates have been done to power control for IAB, it is necessary to define Pcmax also in IAB RF specification.</w:t>
      </w:r>
    </w:p>
    <w:p w14:paraId="4C0B22DD" w14:textId="55D453E6" w:rsidR="00236867" w:rsidRDefault="00236867" w:rsidP="0039353D">
      <w:pPr>
        <w:rPr>
          <w:b/>
          <w:bCs/>
        </w:rPr>
      </w:pPr>
      <w:r w:rsidRPr="00236867">
        <w:rPr>
          <w:b/>
          <w:bCs/>
        </w:rPr>
        <w:t>Observation 5:</w:t>
      </w:r>
      <w:r>
        <w:rPr>
          <w:b/>
          <w:bCs/>
        </w:rPr>
        <w:t xml:space="preserve"> Configured maximum output power, Pcmax, is necessary to define in IAB RF specification to enable power control for local area IAB-MTs.</w:t>
      </w:r>
    </w:p>
    <w:p w14:paraId="4DA394F1" w14:textId="63BA4293" w:rsidR="00236867" w:rsidRDefault="00236867" w:rsidP="0039353D">
      <w:r>
        <w:t xml:space="preserve">Looking at the UE RF specifications and the definition of Pcmax, many aspect are included that are seen as not required for IAB. These include MPR definitions and duty cycle related aspects. In addition in FR1 there are specifics related to </w:t>
      </w:r>
      <w:r>
        <w:lastRenderedPageBreak/>
        <w:t>different UE power classes and Pi/2 BPSK which is not defined for IAB. Therefore we see a need to simplify the Pcmax definition for IAB-MT. In addition, RAN4#94-e it was agreed in [5] that manufacturer shall declare the IAB-MT Tx power using the same framework as BS Tx power declaration.</w:t>
      </w:r>
      <w:r w:rsidR="00D41CE0">
        <w:t xml:space="preserve"> On the other hand, currently BS manufacturer declarations allow different output powers for some modulations, and this needs to be taken into account in Pcmax.</w:t>
      </w:r>
    </w:p>
    <w:p w14:paraId="417B2340" w14:textId="76820231" w:rsidR="00236867" w:rsidRDefault="002A7160" w:rsidP="0039353D">
      <w:pPr>
        <w:rPr>
          <w:b/>
          <w:bCs/>
        </w:rPr>
      </w:pPr>
      <w:r>
        <w:rPr>
          <w:b/>
          <w:bCs/>
        </w:rPr>
        <w:t>Proposal 5</w:t>
      </w:r>
      <w:r w:rsidR="00236867" w:rsidRPr="00E36667">
        <w:rPr>
          <w:b/>
          <w:bCs/>
        </w:rPr>
        <w:t xml:space="preserve">: Compared to UE requirements, Pcmax </w:t>
      </w:r>
      <w:r>
        <w:rPr>
          <w:b/>
          <w:bCs/>
        </w:rPr>
        <w:t xml:space="preserve">shall be simplified </w:t>
      </w:r>
      <w:r w:rsidR="00E36667">
        <w:rPr>
          <w:b/>
          <w:bCs/>
        </w:rPr>
        <w:t>leaving out aspects that are not specified for IAB-MT, including MPR, duty cycle, Pi/2 BSPK, UE power classes</w:t>
      </w:r>
      <w:r>
        <w:rPr>
          <w:b/>
          <w:bCs/>
        </w:rPr>
        <w:t xml:space="preserve">, but instead </w:t>
      </w:r>
      <w:r w:rsidRPr="00E36667">
        <w:rPr>
          <w:b/>
          <w:bCs/>
        </w:rPr>
        <w:t>taking into account manufacturer declaration of maximum output power</w:t>
      </w:r>
      <w:r>
        <w:rPr>
          <w:b/>
          <w:bCs/>
        </w:rPr>
        <w:t>, which may be modulation dependent</w:t>
      </w:r>
      <w:r w:rsidR="00E36667">
        <w:rPr>
          <w:b/>
          <w:bCs/>
        </w:rPr>
        <w:t>.</w:t>
      </w:r>
    </w:p>
    <w:p w14:paraId="16C754D7" w14:textId="0F39737D" w:rsidR="00E36667" w:rsidRDefault="00E36667" w:rsidP="0039353D">
      <w:r>
        <w:t xml:space="preserve">It is proposed that the configured maximum output power consist of Pcmax declared by the manufacturer and the Pcmax tolerance will be the same as output power tolerance. </w:t>
      </w:r>
      <w:r w:rsidR="00D41CE0">
        <w:t>The draft of the requirement is provided below.</w:t>
      </w:r>
    </w:p>
    <w:p w14:paraId="159CC289" w14:textId="57734E48" w:rsidR="00B05B2F" w:rsidRPr="00D41CE0" w:rsidRDefault="00B05B2F" w:rsidP="00B05B2F">
      <w:pPr>
        <w:rPr>
          <w:b/>
          <w:bCs/>
        </w:rPr>
      </w:pPr>
      <w:r w:rsidRPr="00D41CE0">
        <w:rPr>
          <w:b/>
          <w:bCs/>
        </w:rPr>
        <w:t xml:space="preserve">Proposal </w:t>
      </w:r>
      <w:r w:rsidR="002A7160">
        <w:rPr>
          <w:b/>
          <w:bCs/>
        </w:rPr>
        <w:t>6</w:t>
      </w:r>
      <w:r w:rsidRPr="00D41CE0">
        <w:rPr>
          <w:b/>
          <w:bCs/>
        </w:rPr>
        <w:t xml:space="preserve">: Consider adopting the following configured transmitted power </w:t>
      </w:r>
      <w:r>
        <w:rPr>
          <w:b/>
          <w:bCs/>
        </w:rPr>
        <w:t xml:space="preserve">requirement as the </w:t>
      </w:r>
      <w:r w:rsidR="002A7160">
        <w:rPr>
          <w:b/>
          <w:bCs/>
        </w:rPr>
        <w:t>starting point</w:t>
      </w:r>
      <w:r>
        <w:rPr>
          <w:b/>
          <w:bCs/>
        </w:rPr>
        <w:t xml:space="preserve"> for Local Area IAB-MT in FR2 with the understanding that extensions may be required e.g. for CA operation.</w:t>
      </w:r>
    </w:p>
    <w:p w14:paraId="4AB1B296" w14:textId="790C18F6" w:rsidR="00E36667" w:rsidRDefault="00E36667" w:rsidP="00E36667">
      <w:pPr>
        <w:ind w:left="284"/>
      </w:pPr>
      <w:r>
        <w:t>6.X.X Configured transmitted power</w:t>
      </w:r>
    </w:p>
    <w:p w14:paraId="0F6EEDBD" w14:textId="72E3FB92" w:rsidR="00F07FB1" w:rsidRDefault="00E36667" w:rsidP="00F07FB1">
      <w:pPr>
        <w:ind w:left="284"/>
      </w:pPr>
      <w:r>
        <w:t xml:space="preserve">Local Area IAB-MT </w:t>
      </w:r>
      <w:r w:rsidR="00CE0C6F">
        <w:t>is allowed to</w:t>
      </w:r>
      <w:r>
        <w:t xml:space="preserve"> configure its maximum output power </w:t>
      </w:r>
      <w:r w:rsidR="00CE0C6F">
        <w:t>according to manufacturer output power declaration</w:t>
      </w:r>
      <w:r w:rsidR="00F07FB1">
        <w:t xml:space="preserve"> for </w:t>
      </w:r>
      <w:r w:rsidR="00F07FB1" w:rsidRPr="00E26D09">
        <w:rPr>
          <w:i/>
        </w:rPr>
        <w:t>rated carrier TRP output power</w:t>
      </w:r>
      <w:r w:rsidR="00F07FB1" w:rsidRPr="00E26D09">
        <w:t xml:space="preserve"> P</w:t>
      </w:r>
      <w:r w:rsidR="00F07FB1" w:rsidRPr="00E26D09">
        <w:rPr>
          <w:vertAlign w:val="subscript"/>
        </w:rPr>
        <w:t>rated,c,TRP</w:t>
      </w:r>
      <w:r w:rsidR="00CE0C6F">
        <w:t xml:space="preserve">. </w:t>
      </w:r>
      <w:r>
        <w:t>The configured IAB-MT maximum output power P</w:t>
      </w:r>
      <w:r>
        <w:rPr>
          <w:vertAlign w:val="subscript"/>
        </w:rPr>
        <w:t>CMAX,f,c</w:t>
      </w:r>
      <w:r>
        <w:t xml:space="preserve"> for carrier f of a serving cell c is defined as power available at the reference point defined in clause 4</w:t>
      </w:r>
      <w:r w:rsidR="00CE0C6F">
        <w:t>.3</w:t>
      </w:r>
      <w:r>
        <w:t>.</w:t>
      </w:r>
    </w:p>
    <w:p w14:paraId="308EF149" w14:textId="2F36FE7C" w:rsidR="00E36667" w:rsidRPr="00E36667" w:rsidRDefault="00D41CE0" w:rsidP="00F07FB1">
      <w:pPr>
        <w:ind w:left="284"/>
      </w:pPr>
      <w:r>
        <w:t xml:space="preserve">The measured configured maximum output power </w:t>
      </w:r>
      <w:r>
        <w:rPr>
          <w:lang w:eastAsia="zh-CN"/>
        </w:rPr>
        <w:t>P</w:t>
      </w:r>
      <w:r>
        <w:rPr>
          <w:vertAlign w:val="subscript"/>
          <w:lang w:eastAsia="zh-CN"/>
        </w:rPr>
        <w:t>UMAX,f,c</w:t>
      </w:r>
      <w:r>
        <w:rPr>
          <w:lang w:eastAsia="zh-CN"/>
        </w:rPr>
        <w:t xml:space="preserve"> shall </w:t>
      </w:r>
      <w:r w:rsidR="00F07FB1" w:rsidRPr="007E346D">
        <w:t xml:space="preserve">remain within </w:t>
      </w:r>
      <w:r w:rsidR="00F07FB1">
        <w:t>[</w:t>
      </w:r>
      <w:r w:rsidR="00F07FB1" w:rsidRPr="007E346D">
        <w:t>+</w:t>
      </w:r>
      <w:r w:rsidR="00F07FB1">
        <w:t>3</w:t>
      </w:r>
      <w:r w:rsidR="00F07FB1" w:rsidRPr="007E346D">
        <w:t xml:space="preserve"> dB and -</w:t>
      </w:r>
      <w:r w:rsidR="00F07FB1">
        <w:t>3</w:t>
      </w:r>
      <w:r w:rsidR="00F07FB1" w:rsidRPr="007E346D">
        <w:t xml:space="preserve"> dB</w:t>
      </w:r>
      <w:r w:rsidR="00F07FB1">
        <w:t>]</w:t>
      </w:r>
      <w:r w:rsidR="00F07FB1" w:rsidRPr="007E346D">
        <w:t xml:space="preserve"> of the </w:t>
      </w:r>
      <w:r w:rsidR="00F07FB1" w:rsidRPr="00E26D09">
        <w:rPr>
          <w:i/>
        </w:rPr>
        <w:t>rated carrier TRP output power</w:t>
      </w:r>
      <w:r w:rsidR="00F07FB1" w:rsidRPr="00E26D09">
        <w:t xml:space="preserve"> P</w:t>
      </w:r>
      <w:r w:rsidR="00F07FB1" w:rsidRPr="00E26D09">
        <w:rPr>
          <w:vertAlign w:val="subscript"/>
        </w:rPr>
        <w:t>rated,c,TRP</w:t>
      </w:r>
      <w:r w:rsidR="00F07FB1" w:rsidRPr="007E346D">
        <w:rPr>
          <w:lang w:eastAsia="zh-CN"/>
        </w:rPr>
        <w:t xml:space="preserve">, </w:t>
      </w:r>
      <w:r w:rsidR="00F07FB1" w:rsidRPr="007E346D">
        <w:t>declared by the manufacturer.</w:t>
      </w:r>
    </w:p>
    <w:p w14:paraId="52782008" w14:textId="524CB258" w:rsidR="00F32200" w:rsidRDefault="00F32200" w:rsidP="00F32200">
      <w:pPr>
        <w:pStyle w:val="Heading1"/>
      </w:pPr>
      <w:r>
        <w:t>3</w:t>
      </w:r>
      <w:r>
        <w:tab/>
        <w:t>Conclusion</w:t>
      </w:r>
    </w:p>
    <w:p w14:paraId="684B36C8" w14:textId="4533C219" w:rsidR="0073601D" w:rsidRDefault="0056035D" w:rsidP="00D371FB">
      <w:r>
        <w:t xml:space="preserve">In this contribution </w:t>
      </w:r>
      <w:r w:rsidR="002F6C06">
        <w:t>IAB-MT classification and related</w:t>
      </w:r>
      <w:r w:rsidR="0089773D">
        <w:t xml:space="preserve"> output power requirements were discussed. The following observations and proposals were made:</w:t>
      </w:r>
      <w:r w:rsidR="002F6C06">
        <w:t xml:space="preserve"> </w:t>
      </w:r>
    </w:p>
    <w:p w14:paraId="527D7C9C" w14:textId="77777777" w:rsidR="002F6C06" w:rsidRDefault="002F6C06" w:rsidP="002F6C06">
      <w:pPr>
        <w:rPr>
          <w:b/>
          <w:bCs/>
        </w:rPr>
      </w:pPr>
      <w:r>
        <w:rPr>
          <w:b/>
          <w:bCs/>
        </w:rPr>
        <w:t>Observation 1: Deployment scenario is the defining factor for the different IAB-MT classes.</w:t>
      </w:r>
    </w:p>
    <w:p w14:paraId="472E27C9" w14:textId="422A9981" w:rsidR="002F6C06" w:rsidRDefault="002F6C06" w:rsidP="002F6C06">
      <w:pPr>
        <w:rPr>
          <w:b/>
          <w:bCs/>
        </w:rPr>
      </w:pPr>
      <w:r w:rsidRPr="00B1706D">
        <w:rPr>
          <w:b/>
          <w:bCs/>
        </w:rPr>
        <w:t xml:space="preserve">Observation 2: </w:t>
      </w:r>
      <w:r>
        <w:rPr>
          <w:b/>
          <w:bCs/>
        </w:rPr>
        <w:t>Backhaul link conditions are expected to be more stable for the macro deployments, resulting in limited need for RRM requirements and Tx dynamic range, including power control requirements, compared to HetNet deployment. Coexistence study has shown coexistence is easier to guarantee in macro deployment.</w:t>
      </w:r>
    </w:p>
    <w:p w14:paraId="49D464E8" w14:textId="77777777" w:rsidR="002F6C06" w:rsidRDefault="002F6C06" w:rsidP="002F6C06">
      <w:pPr>
        <w:rPr>
          <w:b/>
          <w:bCs/>
        </w:rPr>
      </w:pPr>
      <w:r w:rsidRPr="00AD55F1">
        <w:rPr>
          <w:b/>
          <w:bCs/>
        </w:rPr>
        <w:t xml:space="preserve">Observation </w:t>
      </w:r>
      <w:r>
        <w:rPr>
          <w:b/>
          <w:bCs/>
        </w:rPr>
        <w:t>3</w:t>
      </w:r>
      <w:r w:rsidRPr="00AD55F1">
        <w:rPr>
          <w:b/>
          <w:bCs/>
        </w:rPr>
        <w:t>:</w:t>
      </w:r>
      <w:r>
        <w:rPr>
          <w:b/>
          <w:bCs/>
        </w:rPr>
        <w:t xml:space="preserve"> Both deployment scenarios benefit from high output power being available</w:t>
      </w:r>
    </w:p>
    <w:p w14:paraId="774FC20D" w14:textId="0E9ED564" w:rsidR="002F6C06" w:rsidRDefault="002F6C06" w:rsidP="002F6C06">
      <w:pPr>
        <w:rPr>
          <w:b/>
          <w:bCs/>
        </w:rPr>
      </w:pPr>
      <w:r w:rsidRPr="00AD55F1">
        <w:rPr>
          <w:b/>
          <w:bCs/>
        </w:rPr>
        <w:t xml:space="preserve">Observation </w:t>
      </w:r>
      <w:r>
        <w:rPr>
          <w:b/>
          <w:bCs/>
        </w:rPr>
        <w:t>4</w:t>
      </w:r>
      <w:r w:rsidRPr="00AD55F1">
        <w:rPr>
          <w:b/>
          <w:bCs/>
        </w:rPr>
        <w:t>:</w:t>
      </w:r>
      <w:r>
        <w:rPr>
          <w:b/>
          <w:bCs/>
        </w:rPr>
        <w:t xml:space="preserve"> Coexistence study used same output power for both deployment scenarios.</w:t>
      </w:r>
    </w:p>
    <w:p w14:paraId="39ABDAB0" w14:textId="77777777" w:rsidR="002F6C06" w:rsidRDefault="002F6C06" w:rsidP="002F6C06">
      <w:pPr>
        <w:rPr>
          <w:b/>
          <w:bCs/>
        </w:rPr>
      </w:pPr>
      <w:r w:rsidRPr="00236867">
        <w:rPr>
          <w:b/>
          <w:bCs/>
        </w:rPr>
        <w:t>Observation 5:</w:t>
      </w:r>
      <w:r>
        <w:rPr>
          <w:b/>
          <w:bCs/>
        </w:rPr>
        <w:t xml:space="preserve"> Configured maximum output power, Pcmax, is necessary to define in IAB RF specification to enable power control for local area IAB-MTs.</w:t>
      </w:r>
    </w:p>
    <w:p w14:paraId="7E6D142C" w14:textId="03DA2AE9" w:rsidR="002F6C06" w:rsidRDefault="002F6C06" w:rsidP="002F6C06">
      <w:pPr>
        <w:rPr>
          <w:b/>
          <w:bCs/>
        </w:rPr>
      </w:pPr>
      <w:r w:rsidRPr="00E36667">
        <w:rPr>
          <w:b/>
          <w:bCs/>
        </w:rPr>
        <w:t xml:space="preserve">Observation 6: Compared to UE requirements, there is a need to simplify Pcmax definition taking into account manufacturer declaration of maximum output power and </w:t>
      </w:r>
      <w:r>
        <w:rPr>
          <w:b/>
          <w:bCs/>
        </w:rPr>
        <w:t>leaving out aspects that are not specified for IAB-MT, including MPR, duty cycle, Pi/2 BSPK, UE power classes.</w:t>
      </w:r>
    </w:p>
    <w:p w14:paraId="1F127501" w14:textId="77777777" w:rsidR="002F6C06" w:rsidRPr="00131F06" w:rsidRDefault="002F6C06" w:rsidP="002F6C06">
      <w:pPr>
        <w:rPr>
          <w:b/>
          <w:bCs/>
        </w:rPr>
      </w:pPr>
      <w:r w:rsidRPr="00131F06">
        <w:rPr>
          <w:b/>
          <w:bCs/>
        </w:rPr>
        <w:t xml:space="preserve">Proposal 1: IAB-MT </w:t>
      </w:r>
      <w:r w:rsidRPr="00131F06">
        <w:rPr>
          <w:b/>
          <w:bCs/>
          <w:lang w:eastAsia="zh-CN"/>
        </w:rPr>
        <w:t>classes</w:t>
      </w:r>
      <w:r w:rsidRPr="00131F06">
        <w:rPr>
          <w:b/>
          <w:bCs/>
        </w:rPr>
        <w:t xml:space="preserve"> are defined as indicated below:</w:t>
      </w:r>
    </w:p>
    <w:p w14:paraId="221F7AFC" w14:textId="77777777" w:rsidR="002F6C06" w:rsidRPr="00131F06" w:rsidRDefault="002F6C06" w:rsidP="002F6C06">
      <w:pPr>
        <w:pStyle w:val="B1"/>
        <w:ind w:left="852"/>
        <w:rPr>
          <w:b/>
          <w:bCs/>
        </w:rPr>
      </w:pPr>
      <w:r w:rsidRPr="00131F06">
        <w:rPr>
          <w:b/>
          <w:bCs/>
        </w:rPr>
        <w:t>-</w:t>
      </w:r>
      <w:r w:rsidRPr="00131F06">
        <w:rPr>
          <w:b/>
          <w:bCs/>
        </w:rPr>
        <w:tab/>
        <w:t>Wide Area IAB-MT are characterised by requirements derived from Macro/Micro deployment scenarios with stable link conditions.</w:t>
      </w:r>
    </w:p>
    <w:p w14:paraId="2CBDE44C" w14:textId="77777777" w:rsidR="002F6C06" w:rsidRDefault="002F6C06" w:rsidP="002F6C06">
      <w:pPr>
        <w:pStyle w:val="B1"/>
        <w:ind w:left="852"/>
        <w:rPr>
          <w:b/>
          <w:bCs/>
        </w:rPr>
      </w:pPr>
      <w:r w:rsidRPr="00131F06">
        <w:rPr>
          <w:b/>
          <w:bCs/>
        </w:rPr>
        <w:t>-</w:t>
      </w:r>
      <w:r w:rsidRPr="00131F06">
        <w:rPr>
          <w:b/>
          <w:bCs/>
        </w:rPr>
        <w:tab/>
        <w:t xml:space="preserve">[Local Area] IAB-MT are characterised by requirements derived from Pico deployment scenarios with varying backhaul link conditions. </w:t>
      </w:r>
    </w:p>
    <w:p w14:paraId="7065F528" w14:textId="77777777" w:rsidR="002F6C06" w:rsidRDefault="002F6C06" w:rsidP="002F6C06">
      <w:pPr>
        <w:rPr>
          <w:b/>
          <w:bCs/>
        </w:rPr>
      </w:pPr>
      <w:r>
        <w:rPr>
          <w:b/>
          <w:bCs/>
        </w:rPr>
        <w:t>Proposal 2: No limits for maximum output power is specified for wide area IAB-MT neither in FR1 nor FR2.</w:t>
      </w:r>
    </w:p>
    <w:p w14:paraId="127AF805" w14:textId="77777777" w:rsidR="002F6C06" w:rsidRDefault="002F6C06" w:rsidP="002F6C06">
      <w:pPr>
        <w:rPr>
          <w:b/>
          <w:bCs/>
        </w:rPr>
      </w:pPr>
      <w:r>
        <w:rPr>
          <w:b/>
          <w:bCs/>
        </w:rPr>
        <w:t>Proposal 3: No limits for maximum output power is specified for local area IAB-MT at least in FR2.</w:t>
      </w:r>
    </w:p>
    <w:p w14:paraId="77F5DEB5" w14:textId="77777777" w:rsidR="002F6C06" w:rsidRDefault="002F6C06" w:rsidP="002F6C06">
      <w:pPr>
        <w:rPr>
          <w:b/>
          <w:bCs/>
        </w:rPr>
      </w:pPr>
      <w:r w:rsidRPr="00495483">
        <w:rPr>
          <w:b/>
          <w:bCs/>
        </w:rPr>
        <w:t>Proposal 4</w:t>
      </w:r>
      <w:r>
        <w:rPr>
          <w:b/>
          <w:bCs/>
        </w:rPr>
        <w:t>: For wide area IAB-MT no dynamic range or power control requirements are specified in addition to total power dynamic range.</w:t>
      </w:r>
    </w:p>
    <w:p w14:paraId="033082C8" w14:textId="77777777" w:rsidR="002A7160" w:rsidRDefault="002A7160" w:rsidP="002A7160">
      <w:pPr>
        <w:rPr>
          <w:b/>
          <w:bCs/>
        </w:rPr>
      </w:pPr>
      <w:r>
        <w:rPr>
          <w:b/>
          <w:bCs/>
        </w:rPr>
        <w:t>Proposal 5</w:t>
      </w:r>
      <w:r w:rsidRPr="00E36667">
        <w:rPr>
          <w:b/>
          <w:bCs/>
        </w:rPr>
        <w:t xml:space="preserve">: Compared to UE requirements, Pcmax </w:t>
      </w:r>
      <w:r>
        <w:rPr>
          <w:b/>
          <w:bCs/>
        </w:rPr>
        <w:t xml:space="preserve">shall be simplified leaving out aspects that are not specified for IAB-MT, including MPR, duty cycle, Pi/2 BSPK, UE power classes, but instead </w:t>
      </w:r>
      <w:r w:rsidRPr="00E36667">
        <w:rPr>
          <w:b/>
          <w:bCs/>
        </w:rPr>
        <w:t>taking into account manufacturer declaration of maximum output power</w:t>
      </w:r>
      <w:r>
        <w:rPr>
          <w:b/>
          <w:bCs/>
        </w:rPr>
        <w:t>, which may be modulation dependent.</w:t>
      </w:r>
    </w:p>
    <w:p w14:paraId="1E8673E4" w14:textId="77777777" w:rsidR="002A7160" w:rsidRPr="00D41CE0" w:rsidRDefault="002A7160" w:rsidP="002A7160">
      <w:pPr>
        <w:rPr>
          <w:b/>
          <w:bCs/>
        </w:rPr>
      </w:pPr>
      <w:r w:rsidRPr="00D41CE0">
        <w:rPr>
          <w:b/>
          <w:bCs/>
        </w:rPr>
        <w:lastRenderedPageBreak/>
        <w:t xml:space="preserve">Proposal </w:t>
      </w:r>
      <w:r>
        <w:rPr>
          <w:b/>
          <w:bCs/>
        </w:rPr>
        <w:t>6</w:t>
      </w:r>
      <w:r w:rsidRPr="00D41CE0">
        <w:rPr>
          <w:b/>
          <w:bCs/>
        </w:rPr>
        <w:t xml:space="preserve">: Consider adopting the following configured transmitted power </w:t>
      </w:r>
      <w:r>
        <w:rPr>
          <w:b/>
          <w:bCs/>
        </w:rPr>
        <w:t>requirement as the starting point for Local Area IAB-MT in FR2 with the understanding that extensions may be required e.g. for CA operation.</w:t>
      </w:r>
    </w:p>
    <w:p w14:paraId="2718AB26" w14:textId="77777777" w:rsidR="002A7160" w:rsidRDefault="002A7160" w:rsidP="002A7160">
      <w:pPr>
        <w:ind w:left="284"/>
      </w:pPr>
      <w:r>
        <w:t>6.X.X Configured transmitted power</w:t>
      </w:r>
    </w:p>
    <w:p w14:paraId="786AA8EB" w14:textId="77777777" w:rsidR="002A7160" w:rsidRDefault="002A7160" w:rsidP="002A7160">
      <w:pPr>
        <w:ind w:left="284"/>
      </w:pPr>
      <w:r>
        <w:t xml:space="preserve">Local Area IAB-MT is allowed to configure its maximum output power according to manufacturer output power declaration for </w:t>
      </w:r>
      <w:r w:rsidRPr="00E26D09">
        <w:rPr>
          <w:i/>
        </w:rPr>
        <w:t>rated carrier TRP output power</w:t>
      </w:r>
      <w:r w:rsidRPr="00E26D09">
        <w:t xml:space="preserve"> P</w:t>
      </w:r>
      <w:r w:rsidRPr="00E26D09">
        <w:rPr>
          <w:vertAlign w:val="subscript"/>
        </w:rPr>
        <w:t>rated,c,TRP</w:t>
      </w:r>
      <w:r>
        <w:t>. The configured IAB-MT maximum output power P</w:t>
      </w:r>
      <w:r>
        <w:rPr>
          <w:vertAlign w:val="subscript"/>
        </w:rPr>
        <w:t>CMAX,f,c</w:t>
      </w:r>
      <w:r>
        <w:t xml:space="preserve"> for carrier f of a serving cell c is defined as power available at the reference point defined in clause 4.3.</w:t>
      </w:r>
    </w:p>
    <w:p w14:paraId="2EDF3097" w14:textId="77777777" w:rsidR="002A7160" w:rsidRPr="00E36667" w:rsidRDefault="002A7160" w:rsidP="002A7160">
      <w:pPr>
        <w:ind w:left="284"/>
      </w:pPr>
      <w:r>
        <w:t xml:space="preserve">The measured configured maximum output power </w:t>
      </w:r>
      <w:r>
        <w:rPr>
          <w:lang w:eastAsia="zh-CN"/>
        </w:rPr>
        <w:t>P</w:t>
      </w:r>
      <w:r>
        <w:rPr>
          <w:vertAlign w:val="subscript"/>
          <w:lang w:eastAsia="zh-CN"/>
        </w:rPr>
        <w:t>UMAX,f,c</w:t>
      </w:r>
      <w:r>
        <w:rPr>
          <w:lang w:eastAsia="zh-CN"/>
        </w:rPr>
        <w:t xml:space="preserve"> shall </w:t>
      </w:r>
      <w:r w:rsidRPr="007E346D">
        <w:t xml:space="preserve">remain within </w:t>
      </w:r>
      <w:r>
        <w:t>[</w:t>
      </w:r>
      <w:r w:rsidRPr="007E346D">
        <w:t>+</w:t>
      </w:r>
      <w:r>
        <w:t>3</w:t>
      </w:r>
      <w:r w:rsidRPr="007E346D">
        <w:t xml:space="preserve"> dB and -</w:t>
      </w:r>
      <w:r>
        <w:t>3</w:t>
      </w:r>
      <w:r w:rsidRPr="007E346D">
        <w:t xml:space="preserve"> dB</w:t>
      </w:r>
      <w:r>
        <w:t>]</w:t>
      </w:r>
      <w:r w:rsidRPr="007E346D">
        <w:t xml:space="preserve"> of the </w:t>
      </w:r>
      <w:r w:rsidRPr="00E26D09">
        <w:rPr>
          <w:i/>
        </w:rPr>
        <w:t>rated carrier TRP output power</w:t>
      </w:r>
      <w:r w:rsidRPr="00E26D09">
        <w:t xml:space="preserve"> P</w:t>
      </w:r>
      <w:r w:rsidRPr="00E26D09">
        <w:rPr>
          <w:vertAlign w:val="subscript"/>
        </w:rPr>
        <w:t>rated,c,TRP</w:t>
      </w:r>
      <w:r w:rsidRPr="007E346D">
        <w:rPr>
          <w:lang w:eastAsia="zh-CN"/>
        </w:rPr>
        <w:t xml:space="preserve">, </w:t>
      </w:r>
      <w:r w:rsidRPr="007E346D">
        <w:t>declared by the manufacturer.</w:t>
      </w:r>
    </w:p>
    <w:p w14:paraId="4196D530" w14:textId="409077EE" w:rsidR="002F6C06" w:rsidRDefault="002F6C06" w:rsidP="00D371FB">
      <w:pPr>
        <w:rPr>
          <w:b/>
          <w:bCs/>
        </w:rPr>
      </w:pPr>
    </w:p>
    <w:p w14:paraId="55B204E9" w14:textId="77777777" w:rsidR="0057669F" w:rsidRDefault="0057669F" w:rsidP="0057669F">
      <w:pPr>
        <w:pStyle w:val="Heading1"/>
      </w:pPr>
      <w:r>
        <w:t>4</w:t>
      </w:r>
      <w:r>
        <w:tab/>
        <w:t>Reference</w:t>
      </w:r>
      <w:r w:rsidR="0035582C">
        <w:t>s</w:t>
      </w:r>
    </w:p>
    <w:p w14:paraId="1809FABE" w14:textId="5096A5B7" w:rsidR="00F47649" w:rsidRPr="00C14230" w:rsidRDefault="00F47649" w:rsidP="006C16B3">
      <w:pPr>
        <w:ind w:left="567" w:hanging="567"/>
      </w:pPr>
      <w:r>
        <w:t>[</w:t>
      </w:r>
      <w:r w:rsidR="00363800">
        <w:t>1</w:t>
      </w:r>
      <w:r>
        <w:t>]</w:t>
      </w:r>
      <w:r>
        <w:tab/>
        <w:t>R4-</w:t>
      </w:r>
      <w:r w:rsidR="00B675CB">
        <w:t>2002494</w:t>
      </w:r>
      <w:r w:rsidR="001779BE">
        <w:t xml:space="preserve"> </w:t>
      </w:r>
      <w:r w:rsidR="00B675CB">
        <w:t>WF on IAB-MT class definition</w:t>
      </w:r>
      <w:r w:rsidR="001779BE">
        <w:t xml:space="preserve">, </w:t>
      </w:r>
      <w:r w:rsidR="00B675CB">
        <w:t>Samsung</w:t>
      </w:r>
    </w:p>
    <w:p w14:paraId="09893C7A" w14:textId="77AA7FB3" w:rsidR="001D6F67" w:rsidRDefault="00A269DA" w:rsidP="000450CB">
      <w:pPr>
        <w:ind w:left="567" w:hanging="567"/>
        <w:rPr>
          <w:lang w:val="en-US"/>
        </w:rPr>
      </w:pPr>
      <w:r>
        <w:rPr>
          <w:lang w:val="en-US"/>
        </w:rPr>
        <w:t>[2]</w:t>
      </w:r>
      <w:r>
        <w:rPr>
          <w:lang w:val="en-US"/>
        </w:rPr>
        <w:tab/>
        <w:t xml:space="preserve">RP-193199 </w:t>
      </w:r>
      <w:r w:rsidRPr="00A269DA">
        <w:rPr>
          <w:lang w:val="en-US"/>
        </w:rPr>
        <w:t>Proposed Way Forward on RRM Requirements for the IAB Project</w:t>
      </w:r>
      <w:r>
        <w:rPr>
          <w:lang w:val="en-US"/>
        </w:rPr>
        <w:t xml:space="preserve">, </w:t>
      </w:r>
      <w:r w:rsidRPr="00A269DA">
        <w:rPr>
          <w:lang w:val="en-US"/>
        </w:rPr>
        <w:t>Qualcomm Inc, AT&amp;T, KDDI, Samsung, Telstra, Ericsson</w:t>
      </w:r>
    </w:p>
    <w:p w14:paraId="524A09F8" w14:textId="5109F2CA" w:rsidR="007149F9" w:rsidRDefault="007149F9" w:rsidP="007149F9">
      <w:pPr>
        <w:ind w:left="567" w:hanging="567"/>
        <w:rPr>
          <w:lang w:val="en-US"/>
        </w:rPr>
      </w:pPr>
      <w:r>
        <w:rPr>
          <w:lang w:val="en-US"/>
        </w:rPr>
        <w:t>[3]</w:t>
      </w:r>
      <w:r>
        <w:rPr>
          <w:lang w:val="en-US"/>
        </w:rPr>
        <w:tab/>
        <w:t xml:space="preserve">R4-2001432 </w:t>
      </w:r>
      <w:r w:rsidRPr="007149F9">
        <w:rPr>
          <w:lang w:val="en-US"/>
        </w:rPr>
        <w:t>TP to TR 38.xxx IAB-Node blocking, power class and coexistence requirements in FR2</w:t>
      </w:r>
      <w:r>
        <w:rPr>
          <w:lang w:val="en-US"/>
        </w:rPr>
        <w:t>, Nokia, Nokia Shanghai Bell</w:t>
      </w:r>
    </w:p>
    <w:p w14:paraId="1C0A05F0" w14:textId="12039096" w:rsidR="007149F9" w:rsidRPr="007149F9" w:rsidRDefault="007149F9" w:rsidP="007149F9">
      <w:pPr>
        <w:ind w:left="567" w:hanging="567"/>
        <w:rPr>
          <w:lang w:val="en-US"/>
        </w:rPr>
      </w:pPr>
      <w:r>
        <w:rPr>
          <w:lang w:val="en-US"/>
        </w:rPr>
        <w:t>[4]</w:t>
      </w:r>
      <w:r>
        <w:rPr>
          <w:lang w:val="en-US"/>
        </w:rPr>
        <w:tab/>
      </w:r>
      <w:r>
        <w:rPr>
          <w:lang w:val="en-US"/>
        </w:rPr>
        <w:tab/>
        <w:t xml:space="preserve">R4-2001280, </w:t>
      </w:r>
      <w:r w:rsidRPr="007149F9">
        <w:rPr>
          <w:lang w:val="en-US"/>
        </w:rPr>
        <w:t>Definition of IAB-MT ACLR requirement in FR2, Qualcomm Incorporated</w:t>
      </w:r>
    </w:p>
    <w:p w14:paraId="7B68452E" w14:textId="6906154E" w:rsidR="00236867" w:rsidRPr="00236867" w:rsidRDefault="00236867" w:rsidP="00236867">
      <w:pPr>
        <w:ind w:left="567" w:hanging="567"/>
        <w:rPr>
          <w:lang w:val="en-US"/>
        </w:rPr>
      </w:pPr>
      <w:r w:rsidRPr="00236867">
        <w:rPr>
          <w:lang w:val="en-US"/>
        </w:rPr>
        <w:t>[5]</w:t>
      </w:r>
      <w:r>
        <w:rPr>
          <w:lang w:val="en-US"/>
        </w:rPr>
        <w:tab/>
      </w:r>
      <w:r w:rsidRPr="00236867">
        <w:rPr>
          <w:lang w:val="en-US"/>
        </w:rPr>
        <w:t>R4-2002495</w:t>
      </w:r>
      <w:r>
        <w:rPr>
          <w:lang w:val="en-US"/>
        </w:rPr>
        <w:t xml:space="preserve">, </w:t>
      </w:r>
      <w:r w:rsidRPr="00236867">
        <w:rPr>
          <w:lang w:val="en-US"/>
        </w:rPr>
        <w:t>WF on IAB-MT Tx power requirements</w:t>
      </w:r>
      <w:r>
        <w:rPr>
          <w:lang w:val="en-US"/>
        </w:rPr>
        <w:t>, Huawei</w:t>
      </w:r>
    </w:p>
    <w:p w14:paraId="5CE19DDF" w14:textId="35D7349C" w:rsidR="00115068" w:rsidRPr="00DA21EC" w:rsidRDefault="00115068" w:rsidP="00CF183D">
      <w:pPr>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E3CE4" w14:textId="77777777" w:rsidR="00E90883" w:rsidRDefault="00E90883" w:rsidP="002B3503">
      <w:pPr>
        <w:spacing w:after="0"/>
      </w:pPr>
      <w:r>
        <w:separator/>
      </w:r>
    </w:p>
  </w:endnote>
  <w:endnote w:type="continuationSeparator" w:id="0">
    <w:p w14:paraId="0C8F38B0" w14:textId="77777777" w:rsidR="00E90883" w:rsidRDefault="00E9088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22D11" w14:textId="77777777" w:rsidR="00E90883" w:rsidRDefault="00E90883" w:rsidP="002B3503">
      <w:pPr>
        <w:spacing w:after="0"/>
      </w:pPr>
      <w:r>
        <w:separator/>
      </w:r>
    </w:p>
  </w:footnote>
  <w:footnote w:type="continuationSeparator" w:id="0">
    <w:p w14:paraId="08C9FBB5" w14:textId="77777777" w:rsidR="00E90883" w:rsidRDefault="00E9088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4"/>
  </w:num>
  <w:num w:numId="3">
    <w:abstractNumId w:val="6"/>
  </w:num>
  <w:num w:numId="4">
    <w:abstractNumId w:val="10"/>
  </w:num>
  <w:num w:numId="5">
    <w:abstractNumId w:val="12"/>
  </w:num>
  <w:num w:numId="6">
    <w:abstractNumId w:val="13"/>
  </w:num>
  <w:num w:numId="7">
    <w:abstractNumId w:val="5"/>
  </w:num>
  <w:num w:numId="8">
    <w:abstractNumId w:val="2"/>
  </w:num>
  <w:num w:numId="9">
    <w:abstractNumId w:val="0"/>
  </w:num>
  <w:num w:numId="10">
    <w:abstractNumId w:val="7"/>
  </w:num>
  <w:num w:numId="11">
    <w:abstractNumId w:val="15"/>
  </w:num>
  <w:num w:numId="12">
    <w:abstractNumId w:val="1"/>
  </w:num>
  <w:num w:numId="13">
    <w:abstractNumId w:val="4"/>
  </w:num>
  <w:num w:numId="14">
    <w:abstractNumId w:val="9"/>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678D9"/>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3503"/>
    <w:rsid w:val="002B3F6F"/>
    <w:rsid w:val="002C1641"/>
    <w:rsid w:val="002C1C70"/>
    <w:rsid w:val="002D2721"/>
    <w:rsid w:val="002D6A65"/>
    <w:rsid w:val="002F0018"/>
    <w:rsid w:val="002F139F"/>
    <w:rsid w:val="002F6A38"/>
    <w:rsid w:val="002F6C06"/>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C743B"/>
    <w:rsid w:val="003D3111"/>
    <w:rsid w:val="003D5813"/>
    <w:rsid w:val="003E36C3"/>
    <w:rsid w:val="003F0CBC"/>
    <w:rsid w:val="003F1982"/>
    <w:rsid w:val="004035FC"/>
    <w:rsid w:val="00404C40"/>
    <w:rsid w:val="00405E3D"/>
    <w:rsid w:val="00420E2F"/>
    <w:rsid w:val="0042109F"/>
    <w:rsid w:val="00427F57"/>
    <w:rsid w:val="0043450E"/>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3597"/>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B5402"/>
    <w:rsid w:val="00AC6D7C"/>
    <w:rsid w:val="00AD0C29"/>
    <w:rsid w:val="00AD15D4"/>
    <w:rsid w:val="00AD55F1"/>
    <w:rsid w:val="00AD71AD"/>
    <w:rsid w:val="00AE6327"/>
    <w:rsid w:val="00AF14A0"/>
    <w:rsid w:val="00B05B2F"/>
    <w:rsid w:val="00B1541B"/>
    <w:rsid w:val="00B1706D"/>
    <w:rsid w:val="00B172CC"/>
    <w:rsid w:val="00B31BAE"/>
    <w:rsid w:val="00B4385F"/>
    <w:rsid w:val="00B638DE"/>
    <w:rsid w:val="00B6504C"/>
    <w:rsid w:val="00B65B59"/>
    <w:rsid w:val="00B675CB"/>
    <w:rsid w:val="00BA3DB3"/>
    <w:rsid w:val="00BB523E"/>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4752A"/>
    <w:rsid w:val="00D54EAA"/>
    <w:rsid w:val="00D5669A"/>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36667"/>
    <w:rsid w:val="00E46CA7"/>
    <w:rsid w:val="00E5616A"/>
    <w:rsid w:val="00E56A42"/>
    <w:rsid w:val="00E62063"/>
    <w:rsid w:val="00E62B4E"/>
    <w:rsid w:val="00E90883"/>
    <w:rsid w:val="00E90BCB"/>
    <w:rsid w:val="00E962C5"/>
    <w:rsid w:val="00EA3488"/>
    <w:rsid w:val="00EB5F7D"/>
    <w:rsid w:val="00EC589F"/>
    <w:rsid w:val="00EF103D"/>
    <w:rsid w:val="00EF4045"/>
    <w:rsid w:val="00EF6304"/>
    <w:rsid w:val="00F03666"/>
    <w:rsid w:val="00F07FB1"/>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5521-30C1-4A73-BB59-2D2FAA46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7773</TotalTime>
  <Pages>4</Pages>
  <Words>1494</Words>
  <Characters>12103</Characters>
  <Application>Microsoft Office Word</Application>
  <DocSecurity>0</DocSecurity>
  <Lines>100</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13</cp:revision>
  <cp:lastPrinted>1900-01-01T06:00:00Z</cp:lastPrinted>
  <dcterms:created xsi:type="dcterms:W3CDTF">2020-02-10T12:47:00Z</dcterms:created>
  <dcterms:modified xsi:type="dcterms:W3CDTF">2020-04-10T08:23:00Z</dcterms:modified>
</cp:coreProperties>
</file>